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76" w:rsidRDefault="00517642">
      <w:pPr>
        <w:jc w:val="center"/>
        <w:rPr>
          <w:b/>
        </w:rPr>
      </w:pPr>
      <w:r>
        <w:rPr>
          <w:b/>
        </w:rPr>
        <w:t xml:space="preserve"> “CUENTOS PARA SALVAR EL MUNDO”</w:t>
      </w:r>
    </w:p>
    <w:p w:rsidR="00C72D27" w:rsidRDefault="00C72D27">
      <w:pPr>
        <w:jc w:val="center"/>
        <w:rPr>
          <w:b/>
        </w:rPr>
      </w:pPr>
      <w:r>
        <w:rPr>
          <w:b/>
        </w:rPr>
        <w:t>2021</w:t>
      </w:r>
    </w:p>
    <w:p w:rsidR="00517642" w:rsidRDefault="00517642" w:rsidP="005176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17642">
        <w:rPr>
          <w:color w:val="000000"/>
        </w:rPr>
        <w:t xml:space="preserve">Con el propósito de promover la expresión y el talento artístico tadeísta emergente, fortalecer espacios creativos de intercambio y afianzar valores que contribuyan al crecimiento personal de la comunidad tadeísta, </w:t>
      </w:r>
      <w:r>
        <w:rPr>
          <w:color w:val="000000"/>
        </w:rPr>
        <w:t xml:space="preserve">incentivando la lectura y escritura creativa, </w:t>
      </w:r>
      <w:r w:rsidRPr="00517642">
        <w:rPr>
          <w:color w:val="000000"/>
        </w:rPr>
        <w:t>Bienestar Universitario desde el Centro de Arte y Cultura abre las inscripciones pa</w:t>
      </w:r>
      <w:r>
        <w:rPr>
          <w:color w:val="000000"/>
        </w:rPr>
        <w:t>ra participar en la primera convocatoria ‘Cuentos para Salvar el Mundo’ que se llevará a cabo durante el primer semestre de 2021.</w:t>
      </w:r>
    </w:p>
    <w:p w:rsidR="00532892" w:rsidRDefault="00532892" w:rsidP="005176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532892" w:rsidRDefault="00532892" w:rsidP="00532892">
      <w:pPr>
        <w:jc w:val="both"/>
      </w:pPr>
      <w:r>
        <w:t>De esta manera se espera documentar un compilado de</w:t>
      </w:r>
      <w:r w:rsidR="00C72D27">
        <w:t xml:space="preserve"> relatos</w:t>
      </w:r>
      <w:r>
        <w:t xml:space="preserve"> escritos y narrados que inspiren a vernos como una sociedad solidaria llena de héroes y personajes conscientes que logran derrotar las adversidades. </w:t>
      </w:r>
    </w:p>
    <w:p w:rsidR="00517642" w:rsidRDefault="00517642" w:rsidP="005176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517642" w:rsidRDefault="00517642" w:rsidP="005176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517642" w:rsidRPr="00517642" w:rsidRDefault="00517642" w:rsidP="00517642">
      <w:pPr>
        <w:jc w:val="both"/>
        <w:rPr>
          <w:rFonts w:asciiTheme="majorHAnsi" w:hAnsiTheme="majorHAnsi" w:cs="Arial"/>
          <w:b/>
          <w:lang w:val="es-US" w:eastAsia="en-US"/>
        </w:rPr>
      </w:pPr>
      <w:r w:rsidRPr="00517642">
        <w:rPr>
          <w:rFonts w:asciiTheme="majorHAnsi" w:hAnsiTheme="majorHAnsi" w:cs="Arial"/>
          <w:b/>
          <w:lang w:val="es-US" w:eastAsia="en-US"/>
        </w:rPr>
        <w:t>¿QUIÉNES PUEDEN PARTICIPAR?</w:t>
      </w:r>
    </w:p>
    <w:p w:rsidR="00517642" w:rsidRPr="00517642" w:rsidRDefault="00EE6005" w:rsidP="00517642">
      <w:pPr>
        <w:numPr>
          <w:ilvl w:val="0"/>
          <w:numId w:val="7"/>
        </w:numPr>
        <w:ind w:left="708"/>
        <w:contextualSpacing/>
        <w:jc w:val="both"/>
        <w:rPr>
          <w:rFonts w:asciiTheme="majorHAnsi" w:hAnsiTheme="majorHAnsi" w:cs="Arial"/>
          <w:lang w:val="es-US" w:eastAsia="en-US"/>
        </w:rPr>
      </w:pPr>
      <w:r>
        <w:rPr>
          <w:rFonts w:asciiTheme="majorHAnsi" w:hAnsiTheme="majorHAnsi" w:cs="Arial"/>
          <w:lang w:val="es-US" w:eastAsia="en-US"/>
        </w:rPr>
        <w:t>M</w:t>
      </w:r>
      <w:r w:rsidR="00517642" w:rsidRPr="00517642">
        <w:rPr>
          <w:rFonts w:asciiTheme="majorHAnsi" w:hAnsiTheme="majorHAnsi" w:cs="Arial"/>
          <w:lang w:val="es-US" w:eastAsia="en-US"/>
        </w:rPr>
        <w:t>iembros de la comunidad tadeísta (estudiantes, egresados, personal administrativo, profesores).</w:t>
      </w:r>
    </w:p>
    <w:p w:rsidR="00517642" w:rsidRPr="00517642" w:rsidRDefault="00517642" w:rsidP="00517642">
      <w:pPr>
        <w:ind w:left="708"/>
        <w:contextualSpacing/>
        <w:jc w:val="both"/>
        <w:rPr>
          <w:rFonts w:asciiTheme="majorHAnsi" w:hAnsiTheme="majorHAnsi" w:cs="Arial"/>
          <w:i/>
          <w:lang w:val="es-US" w:eastAsia="en-US"/>
        </w:rPr>
      </w:pPr>
      <w:r w:rsidRPr="00517642">
        <w:rPr>
          <w:rFonts w:asciiTheme="majorHAnsi" w:hAnsiTheme="majorHAnsi" w:cs="Arial"/>
          <w:i/>
          <w:lang w:val="es-US" w:eastAsia="en-US"/>
        </w:rPr>
        <w:t>Se consideran estudiantes a aquellas personas que tengan matrícula académica vigente en la Utadeo dentro de cualquiera de los programas académicos de pregrado y posgrado.</w:t>
      </w:r>
    </w:p>
    <w:p w:rsidR="00517642" w:rsidRPr="00517642" w:rsidRDefault="00517642">
      <w:pPr>
        <w:jc w:val="center"/>
        <w:rPr>
          <w:rFonts w:asciiTheme="majorHAnsi" w:hAnsiTheme="majorHAnsi"/>
          <w:b/>
          <w:lang w:val="es-US"/>
        </w:rPr>
      </w:pPr>
    </w:p>
    <w:p w:rsidR="00532892" w:rsidRDefault="00532892" w:rsidP="00532892">
      <w:pPr>
        <w:rPr>
          <w:b/>
        </w:rPr>
      </w:pPr>
      <w:r>
        <w:rPr>
          <w:b/>
        </w:rPr>
        <w:t>CATEGORÍAS DE PARTICIPACIÓN</w:t>
      </w:r>
    </w:p>
    <w:p w:rsidR="00532892" w:rsidRDefault="00532892" w:rsidP="005328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67180D">
        <w:rPr>
          <w:b/>
          <w:color w:val="000000"/>
        </w:rPr>
        <w:t xml:space="preserve">EXPRESIÓN ESCRITA  </w:t>
      </w:r>
    </w:p>
    <w:p w:rsidR="00532892" w:rsidRDefault="00532892" w:rsidP="0053289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Cuentos cortos inéditos con una extensión de mínimo 2 </w:t>
      </w:r>
      <w:r>
        <w:t xml:space="preserve">páginas y máximo </w:t>
      </w:r>
      <w:r>
        <w:t>4. Los textos debe</w:t>
      </w:r>
      <w:r>
        <w:t xml:space="preserve">n estar escritos en tipografía </w:t>
      </w:r>
      <w:proofErr w:type="spellStart"/>
      <w:r>
        <w:t>Tahoma</w:t>
      </w:r>
      <w:proofErr w:type="spellEnd"/>
      <w:r>
        <w:t xml:space="preserve"> 12 con interlineado de 1.5, márgenes inferior y superior de 2.5 cm y laterales de 3.0 cm.</w:t>
      </w:r>
    </w:p>
    <w:p w:rsidR="00532892" w:rsidRDefault="00532892" w:rsidP="00532892">
      <w:pPr>
        <w:jc w:val="both"/>
      </w:pPr>
      <w:bookmarkStart w:id="0" w:name="_gjdgxs" w:colFirst="0" w:colLast="0"/>
      <w:bookmarkEnd w:id="0"/>
      <w:r>
        <w:rPr>
          <w:b/>
        </w:rPr>
        <w:t>Soporte para entrega</w:t>
      </w:r>
      <w:r>
        <w:rPr>
          <w:b/>
        </w:rPr>
        <w:t xml:space="preserve">: </w:t>
      </w:r>
      <w:r w:rsidRPr="00532892">
        <w:t>Documento PDF.</w:t>
      </w:r>
    </w:p>
    <w:p w:rsidR="00532892" w:rsidRDefault="00532892" w:rsidP="00532892">
      <w:pPr>
        <w:rPr>
          <w:b/>
        </w:rPr>
      </w:pPr>
      <w:r>
        <w:rPr>
          <w:b/>
        </w:rPr>
        <w:t xml:space="preserve">2. </w:t>
      </w:r>
      <w:r w:rsidR="0067180D">
        <w:rPr>
          <w:b/>
        </w:rPr>
        <w:t>EXPRESIÓN ORAL</w:t>
      </w:r>
    </w:p>
    <w:p w:rsidR="00532892" w:rsidRDefault="00532892" w:rsidP="002E6D52">
      <w:pPr>
        <w:ind w:left="709"/>
      </w:pPr>
      <w:r>
        <w:t xml:space="preserve">Narración de un cuento con una </w:t>
      </w:r>
      <w:r>
        <w:t xml:space="preserve">extensión mínima de 3 minutos y máxima de 5. Los videos deben ser grabados en formato horizontal. </w:t>
      </w:r>
    </w:p>
    <w:p w:rsidR="00532892" w:rsidRDefault="00532892" w:rsidP="00532892">
      <w:r>
        <w:rPr>
          <w:b/>
        </w:rPr>
        <w:t>Soporte para entrega</w:t>
      </w:r>
      <w:r>
        <w:rPr>
          <w:b/>
        </w:rPr>
        <w:t>:</w:t>
      </w:r>
      <w:r w:rsidR="00C72D27">
        <w:t xml:space="preserve"> Video .MP4 </w:t>
      </w:r>
      <w:r w:rsidR="00C72D27">
        <w:t>.</w:t>
      </w:r>
      <w:proofErr w:type="gramStart"/>
      <w:r w:rsidR="00C72D27">
        <w:t xml:space="preserve">WAV  </w:t>
      </w:r>
      <w:r w:rsidR="00C72D27">
        <w:t>.</w:t>
      </w:r>
      <w:proofErr w:type="gramEnd"/>
      <w:r w:rsidR="00C72D27">
        <w:t>MOV</w:t>
      </w:r>
    </w:p>
    <w:p w:rsidR="00532892" w:rsidRDefault="0067180D">
      <w:pPr>
        <w:jc w:val="both"/>
        <w:rPr>
          <w:b/>
        </w:rPr>
      </w:pPr>
      <w:r>
        <w:rPr>
          <w:b/>
        </w:rPr>
        <w:t>3. CÓMIC</w:t>
      </w:r>
    </w:p>
    <w:p w:rsidR="0067180D" w:rsidRDefault="002E6D52" w:rsidP="00E51F2A">
      <w:pPr>
        <w:ind w:left="709"/>
        <w:jc w:val="both"/>
      </w:pPr>
      <w:r>
        <w:t xml:space="preserve">Historia gráfica inédita </w:t>
      </w:r>
      <w:r w:rsidRPr="002E6D52">
        <w:t>con texto o sin texto</w:t>
      </w:r>
      <w:r>
        <w:t xml:space="preserve">, con extensión libre (no cuenta </w:t>
      </w:r>
      <w:r w:rsidR="00C72D27">
        <w:t>c</w:t>
      </w:r>
      <w:r>
        <w:t>aricatura de una sola viñeta)</w:t>
      </w:r>
    </w:p>
    <w:p w:rsidR="00E51F2A" w:rsidRDefault="00E51F2A" w:rsidP="00E51F2A">
      <w:pPr>
        <w:jc w:val="both"/>
      </w:pPr>
      <w:r>
        <w:rPr>
          <w:b/>
        </w:rPr>
        <w:t xml:space="preserve">Soporte para entrega: </w:t>
      </w:r>
      <w:r w:rsidRPr="00532892">
        <w:t>Documento PDF.</w:t>
      </w:r>
    </w:p>
    <w:p w:rsidR="005D0776" w:rsidRDefault="00E51F2A" w:rsidP="00E51F2A">
      <w:pPr>
        <w:rPr>
          <w:b/>
        </w:rPr>
      </w:pPr>
      <w:r>
        <w:rPr>
          <w:b/>
        </w:rPr>
        <w:lastRenderedPageBreak/>
        <w:t>TEMÁTICA</w:t>
      </w:r>
    </w:p>
    <w:p w:rsidR="00353C29" w:rsidRDefault="00D87F1C">
      <w:r>
        <w:t>1</w:t>
      </w:r>
      <w:r w:rsidR="00F20DA7">
        <w:t>. Visión futurista positi</w:t>
      </w:r>
      <w:r>
        <w:t xml:space="preserve">va de la sociedad post Covid-19, donde se evidencie la importancia de </w:t>
      </w:r>
      <w:r w:rsidR="00353C29">
        <w:t xml:space="preserve">los </w:t>
      </w:r>
      <w:r>
        <w:t xml:space="preserve">valores </w:t>
      </w:r>
      <w:r w:rsidR="009D187E">
        <w:t>en</w:t>
      </w:r>
      <w:r w:rsidR="00353C29">
        <w:t xml:space="preserve"> las relaciones entre las personas, su familia, su entorno</w:t>
      </w:r>
      <w:r w:rsidR="00F20DA7">
        <w:t xml:space="preserve"> y/o</w:t>
      </w:r>
      <w:r w:rsidR="00353C29">
        <w:t xml:space="preserve"> el medio ambiente para afrontar la nueva realidad que</w:t>
      </w:r>
      <w:r w:rsidR="00182F50">
        <w:t xml:space="preserve"> se viene.</w:t>
      </w:r>
    </w:p>
    <w:p w:rsidR="005D0776" w:rsidRDefault="00182F50">
      <w:r>
        <w:t>E</w:t>
      </w:r>
      <w:r w:rsidR="00D87F1C">
        <w:t xml:space="preserve">jemplo: </w:t>
      </w:r>
      <w:r>
        <w:t xml:space="preserve">Algunos de los siguientes: </w:t>
      </w:r>
      <w:r w:rsidR="00D87F1C">
        <w:t>solidarid</w:t>
      </w:r>
      <w:r w:rsidR="00353C29">
        <w:t>ad,</w:t>
      </w:r>
      <w:r w:rsidR="00D87F1C">
        <w:t xml:space="preserve"> convivencia, unión, </w:t>
      </w:r>
      <w:r w:rsidR="00353C29">
        <w:t xml:space="preserve">resiliencia, </w:t>
      </w:r>
      <w:r>
        <w:t xml:space="preserve">sensibilidad y/o </w:t>
      </w:r>
      <w:r w:rsidR="00D87F1C">
        <w:t>gratitud entre otros.</w:t>
      </w:r>
    </w:p>
    <w:p w:rsidR="00BD1C9B" w:rsidRDefault="00BD1C9B" w:rsidP="00BD1C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D0776" w:rsidRDefault="00F20DA7" w:rsidP="00BD1C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 xml:space="preserve">INSCRIPCIÓN </w:t>
      </w:r>
    </w:p>
    <w:p w:rsidR="006C5933" w:rsidRDefault="006C5933">
      <w:pPr>
        <w:jc w:val="both"/>
      </w:pPr>
      <w:r>
        <w:t xml:space="preserve">Los participantes deberán diligenciar el formulario de inscripción y allí mismo subir el archivo con la obra a presentar. </w:t>
      </w:r>
    </w:p>
    <w:p w:rsidR="006C5933" w:rsidRDefault="006C5933">
      <w:pPr>
        <w:jc w:val="both"/>
      </w:pPr>
      <w:r>
        <w:t xml:space="preserve">Formulario de inscripción: </w:t>
      </w:r>
      <w:hyperlink r:id="rId5" w:history="1">
        <w:r w:rsidRPr="00453245">
          <w:rPr>
            <w:rStyle w:val="Hipervnculo"/>
          </w:rPr>
          <w:t>https://forms.gle/kB5kAqqYeuYh1KH98</w:t>
        </w:r>
      </w:hyperlink>
      <w:r>
        <w:t xml:space="preserve"> </w:t>
      </w:r>
    </w:p>
    <w:p w:rsidR="00BD1C9B" w:rsidRPr="00F20DA7" w:rsidRDefault="00BD1C9B" w:rsidP="00DA6BD7">
      <w:pPr>
        <w:jc w:val="both"/>
        <w:rPr>
          <w:rFonts w:asciiTheme="majorHAnsi" w:hAnsiTheme="majorHAnsi" w:cs="Arial"/>
          <w:lang w:val="es-US"/>
        </w:rPr>
      </w:pPr>
      <w:r w:rsidRPr="00F20DA7">
        <w:rPr>
          <w:rFonts w:asciiTheme="majorHAnsi" w:hAnsiTheme="majorHAnsi" w:cs="Arial"/>
          <w:lang w:val="es-US"/>
        </w:rPr>
        <w:t xml:space="preserve">La formalización de la inscripción se realiza únicamente mediante el envío del formulario establecido para ello, el cual equivale al compromiso del </w:t>
      </w:r>
      <w:r w:rsidR="00DA6BD7" w:rsidRPr="00F20DA7">
        <w:rPr>
          <w:rFonts w:asciiTheme="majorHAnsi" w:hAnsiTheme="majorHAnsi" w:cs="Arial"/>
          <w:lang w:val="es-US"/>
        </w:rPr>
        <w:t>participante</w:t>
      </w:r>
      <w:r w:rsidRPr="00F20DA7">
        <w:rPr>
          <w:rFonts w:asciiTheme="majorHAnsi" w:hAnsiTheme="majorHAnsi" w:cs="Arial"/>
          <w:lang w:val="es-US"/>
        </w:rPr>
        <w:t xml:space="preserve"> aceptando las condiciones de participación. </w:t>
      </w:r>
    </w:p>
    <w:p w:rsidR="005D0776" w:rsidRPr="00BD1C9B" w:rsidRDefault="005D0776">
      <w:pPr>
        <w:rPr>
          <w:lang w:val="es-US"/>
        </w:rPr>
      </w:pPr>
    </w:p>
    <w:p w:rsidR="005D0776" w:rsidRDefault="00F20DA7" w:rsidP="00DA6BD7">
      <w:pPr>
        <w:rPr>
          <w:b/>
        </w:rPr>
      </w:pPr>
      <w:r>
        <w:rPr>
          <w:b/>
        </w:rPr>
        <w:t xml:space="preserve">EVALUACIÓN </w:t>
      </w:r>
      <w:r w:rsidR="00DA6BD7">
        <w:rPr>
          <w:b/>
        </w:rPr>
        <w:t>Y PREMIACIÓN</w:t>
      </w:r>
    </w:p>
    <w:p w:rsidR="00DA6BD7" w:rsidRDefault="00DA6BD7" w:rsidP="00DA6BD7">
      <w:pPr>
        <w:jc w:val="both"/>
      </w:pPr>
      <w:r>
        <w:t>•</w:t>
      </w:r>
      <w:r>
        <w:tab/>
        <w:t xml:space="preserve">El Jurado calificador estará conformado por un número impar de expertos en </w:t>
      </w:r>
      <w:r>
        <w:t xml:space="preserve">este campo, </w:t>
      </w:r>
      <w:r>
        <w:t xml:space="preserve">con todas las capacidades para escoger autónomamente a los ganadores y </w:t>
      </w:r>
      <w:r w:rsidR="00F20DA7">
        <w:t xml:space="preserve">éste </w:t>
      </w:r>
      <w:r>
        <w:t>será elegido por el comité organizador.</w:t>
      </w:r>
    </w:p>
    <w:p w:rsidR="00DA6BD7" w:rsidRDefault="00DA6BD7" w:rsidP="00DA6BD7">
      <w:pPr>
        <w:jc w:val="both"/>
      </w:pPr>
      <w:r>
        <w:t>•</w:t>
      </w:r>
      <w:r>
        <w:tab/>
        <w:t xml:space="preserve">Es obligación del jurado </w:t>
      </w:r>
      <w:r>
        <w:t>evaluar la totalidad de los trabajos participantes antes de dar el veredicto final.</w:t>
      </w:r>
    </w:p>
    <w:p w:rsidR="00DA6BD7" w:rsidRDefault="00DA6BD7" w:rsidP="00DA6BD7">
      <w:pPr>
        <w:jc w:val="both"/>
      </w:pPr>
      <w:r>
        <w:t>•</w:t>
      </w:r>
      <w:r>
        <w:tab/>
        <w:t>La deliberación de los jurados no podrá ser divulgada públicamente hasta la emisión del fallo final.</w:t>
      </w:r>
    </w:p>
    <w:p w:rsidR="00DA6BD7" w:rsidRDefault="00DA6BD7" w:rsidP="00DA6BD7">
      <w:pPr>
        <w:jc w:val="both"/>
      </w:pPr>
      <w:r>
        <w:t>•</w:t>
      </w:r>
      <w:r>
        <w:tab/>
        <w:t>El jurado conservará siempre un trato respetuoso con los participantes, teniendo en cuenta el carácter formativo del evento, y sus comentarios estarán centrados en aspectos pedagógicos y de reconocimiento a las obras e interpretaciones, enfatizando en aspectos que aporten al mejoramiento de cada uno de ellos.</w:t>
      </w:r>
    </w:p>
    <w:p w:rsidR="00DA6BD7" w:rsidRDefault="00DA6BD7" w:rsidP="00DA6BD7">
      <w:pPr>
        <w:jc w:val="both"/>
      </w:pPr>
      <w:r>
        <w:t>•</w:t>
      </w:r>
      <w:r>
        <w:tab/>
        <w:t xml:space="preserve">Se premiará al mejor participante de cada categoría. </w:t>
      </w:r>
    </w:p>
    <w:p w:rsidR="00DA6BD7" w:rsidRDefault="00DA6BD7" w:rsidP="00DA6BD7">
      <w:pPr>
        <w:jc w:val="both"/>
      </w:pPr>
      <w:r>
        <w:t>•</w:t>
      </w:r>
      <w:r>
        <w:tab/>
        <w:t>No se declararán empates, ni puestos desiertos. El fallo del Jurado será inapelable.</w:t>
      </w:r>
    </w:p>
    <w:p w:rsidR="00DA6BD7" w:rsidRDefault="00DA6BD7" w:rsidP="00DA6BD7">
      <w:pPr>
        <w:jc w:val="both"/>
      </w:pPr>
    </w:p>
    <w:p w:rsidR="00F20DA7" w:rsidRDefault="00F20DA7" w:rsidP="00DA6BD7">
      <w:pPr>
        <w:jc w:val="both"/>
        <w:rPr>
          <w:b/>
        </w:rPr>
      </w:pPr>
    </w:p>
    <w:p w:rsidR="00DA6BD7" w:rsidRPr="00DA6BD7" w:rsidRDefault="00DA6BD7" w:rsidP="00DA6BD7">
      <w:pPr>
        <w:jc w:val="both"/>
        <w:rPr>
          <w:b/>
        </w:rPr>
      </w:pPr>
      <w:r w:rsidRPr="00DA6BD7">
        <w:rPr>
          <w:b/>
        </w:rPr>
        <w:lastRenderedPageBreak/>
        <w:t>CRITERIOS DE EVALUACIÓN</w:t>
      </w:r>
    </w:p>
    <w:p w:rsidR="00DA6BD7" w:rsidRDefault="00DA6BD7" w:rsidP="00DA6BD7">
      <w:pPr>
        <w:jc w:val="both"/>
      </w:pPr>
      <w:r>
        <w:t>E</w:t>
      </w:r>
      <w:r>
        <w:t xml:space="preserve">l jurado calificador evaluará las obras </w:t>
      </w:r>
      <w:r>
        <w:t xml:space="preserve">participantes teniendo en cuenta los siguientes criterios, los cuales </w:t>
      </w:r>
      <w:r>
        <w:t>se calificarán de 1.0 a 5.0, donde 1.0 es la nota más baja y 5.0 la nota más alta.</w:t>
      </w:r>
    </w:p>
    <w:p w:rsidR="005D0776" w:rsidRDefault="00F20DA7">
      <w:pPr>
        <w:jc w:val="both"/>
      </w:pPr>
      <w:r>
        <w:t>Los jurados serán los encargados de realizar la evaluación</w:t>
      </w:r>
      <w:r>
        <w:t xml:space="preserve"> y selección de las propuestas en los términos de la presente convocatoria.</w:t>
      </w:r>
    </w:p>
    <w:p w:rsidR="00DA6BD7" w:rsidRPr="00DA6BD7" w:rsidRDefault="00DA6BD7">
      <w:pPr>
        <w:rPr>
          <w:rFonts w:asciiTheme="majorHAnsi" w:hAnsiTheme="majorHAnsi"/>
        </w:rPr>
      </w:pPr>
    </w:p>
    <w:p w:rsidR="00DA6BD7" w:rsidRPr="00DA6BD7" w:rsidRDefault="00DA6BD7" w:rsidP="00DA6BD7">
      <w:pPr>
        <w:rPr>
          <w:rFonts w:asciiTheme="majorHAnsi" w:hAnsiTheme="majorHAnsi" w:cs="Arial"/>
          <w:b/>
          <w:lang w:val="es-US" w:eastAsia="en-US"/>
        </w:rPr>
      </w:pPr>
      <w:bookmarkStart w:id="1" w:name="_GoBack"/>
      <w:r w:rsidRPr="00DA6BD7">
        <w:rPr>
          <w:rFonts w:asciiTheme="majorHAnsi" w:hAnsiTheme="majorHAnsi" w:cs="Arial"/>
          <w:b/>
          <w:lang w:val="es-US" w:eastAsia="en-US"/>
        </w:rPr>
        <w:t>CRONOGRAMA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1214"/>
        <w:gridCol w:w="2246"/>
      </w:tblGrid>
      <w:tr w:rsidR="00462B29" w:rsidRPr="00DA6BD7" w:rsidTr="005B681E">
        <w:trPr>
          <w:trHeight w:val="303"/>
          <w:jc w:val="center"/>
        </w:trPr>
        <w:tc>
          <w:tcPr>
            <w:tcW w:w="0" w:type="auto"/>
            <w:shd w:val="clear" w:color="auto" w:fill="0070C0"/>
            <w:vAlign w:val="center"/>
          </w:tcPr>
          <w:p w:rsidR="00DA6BD7" w:rsidRPr="00DA6BD7" w:rsidRDefault="00DA6BD7" w:rsidP="00DA6BD7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DA6BD7">
              <w:rPr>
                <w:rFonts w:asciiTheme="majorHAnsi" w:hAnsiTheme="majorHAnsi"/>
                <w:b/>
                <w:color w:val="FFFFFF"/>
              </w:rPr>
              <w:t>Actividad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DA6BD7" w:rsidRPr="00DA6BD7" w:rsidRDefault="00DA6BD7" w:rsidP="00DA6BD7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DA6BD7">
              <w:rPr>
                <w:rFonts w:asciiTheme="majorHAnsi" w:hAnsiTheme="majorHAnsi"/>
                <w:b/>
                <w:color w:val="FFFFFF"/>
              </w:rPr>
              <w:t>Fecha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DA6BD7" w:rsidRPr="00DA6BD7" w:rsidRDefault="00DA6BD7" w:rsidP="00DA6BD7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DA6BD7">
              <w:rPr>
                <w:rFonts w:asciiTheme="majorHAnsi" w:hAnsiTheme="majorHAnsi"/>
                <w:b/>
                <w:color w:val="FFFFFF"/>
              </w:rPr>
              <w:t>Lugar</w:t>
            </w:r>
          </w:p>
        </w:tc>
      </w:tr>
      <w:tr w:rsidR="00DA6BD7" w:rsidRPr="00DA6BD7" w:rsidTr="005B681E">
        <w:trPr>
          <w:trHeight w:val="303"/>
          <w:jc w:val="center"/>
        </w:trPr>
        <w:tc>
          <w:tcPr>
            <w:tcW w:w="0" w:type="auto"/>
            <w:vAlign w:val="center"/>
          </w:tcPr>
          <w:p w:rsidR="00DA6BD7" w:rsidRPr="00DA6BD7" w:rsidRDefault="00462B29" w:rsidP="00DA6B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Recepción de trabajos</w:t>
            </w:r>
          </w:p>
        </w:tc>
        <w:tc>
          <w:tcPr>
            <w:tcW w:w="0" w:type="auto"/>
            <w:vAlign w:val="center"/>
          </w:tcPr>
          <w:p w:rsidR="00DA6BD7" w:rsidRPr="00DA6BD7" w:rsidRDefault="00462B29" w:rsidP="00462B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DA6BD7" w:rsidRPr="00DA6BD7">
              <w:rPr>
                <w:rFonts w:asciiTheme="majorHAnsi" w:hAnsiTheme="majorHAnsi"/>
              </w:rPr>
              <w:t xml:space="preserve"> de </w:t>
            </w:r>
            <w:r>
              <w:rPr>
                <w:rFonts w:asciiTheme="majorHAnsi" w:hAnsiTheme="majorHAnsi"/>
              </w:rPr>
              <w:t>mayo</w:t>
            </w:r>
          </w:p>
        </w:tc>
        <w:tc>
          <w:tcPr>
            <w:tcW w:w="0" w:type="auto"/>
            <w:vAlign w:val="center"/>
          </w:tcPr>
          <w:p w:rsidR="00DA6BD7" w:rsidRPr="00DA6BD7" w:rsidRDefault="00DA6BD7" w:rsidP="00DA6BD7">
            <w:pPr>
              <w:jc w:val="center"/>
              <w:rPr>
                <w:rFonts w:asciiTheme="majorHAnsi" w:hAnsiTheme="majorHAnsi"/>
              </w:rPr>
            </w:pPr>
            <w:r w:rsidRPr="00DA6BD7">
              <w:rPr>
                <w:rFonts w:asciiTheme="majorHAnsi" w:hAnsiTheme="majorHAnsi"/>
              </w:rPr>
              <w:t>Virtual</w:t>
            </w:r>
          </w:p>
        </w:tc>
      </w:tr>
      <w:tr w:rsidR="00DA6BD7" w:rsidRPr="00DA6BD7" w:rsidTr="005B681E">
        <w:trPr>
          <w:trHeight w:val="303"/>
          <w:jc w:val="center"/>
        </w:trPr>
        <w:tc>
          <w:tcPr>
            <w:tcW w:w="0" w:type="auto"/>
            <w:vAlign w:val="center"/>
          </w:tcPr>
          <w:p w:rsidR="00DA6BD7" w:rsidRPr="00DA6BD7" w:rsidRDefault="00462B29" w:rsidP="00DA6B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Premiación</w:t>
            </w:r>
          </w:p>
        </w:tc>
        <w:tc>
          <w:tcPr>
            <w:tcW w:w="0" w:type="auto"/>
            <w:vAlign w:val="center"/>
          </w:tcPr>
          <w:p w:rsidR="00DA6BD7" w:rsidRPr="00DA6BD7" w:rsidRDefault="00462B29" w:rsidP="00462B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DA6BD7" w:rsidRPr="00DA6BD7">
              <w:rPr>
                <w:rFonts w:asciiTheme="majorHAnsi" w:hAnsiTheme="majorHAnsi"/>
              </w:rPr>
              <w:t xml:space="preserve"> de </w:t>
            </w:r>
            <w:r>
              <w:rPr>
                <w:rFonts w:asciiTheme="majorHAnsi" w:hAnsiTheme="majorHAnsi"/>
              </w:rPr>
              <w:t>junio</w:t>
            </w:r>
          </w:p>
        </w:tc>
        <w:tc>
          <w:tcPr>
            <w:tcW w:w="0" w:type="auto"/>
            <w:vAlign w:val="center"/>
          </w:tcPr>
          <w:p w:rsidR="00DA6BD7" w:rsidRPr="00DA6BD7" w:rsidRDefault="00462B29" w:rsidP="00DA6B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Redes oficiales Utadeo</w:t>
            </w:r>
          </w:p>
        </w:tc>
      </w:tr>
      <w:bookmarkEnd w:id="1"/>
    </w:tbl>
    <w:p w:rsidR="00DA6BD7" w:rsidRPr="00DA6BD7" w:rsidRDefault="00DA6BD7" w:rsidP="00DA6BD7">
      <w:pPr>
        <w:rPr>
          <w:rFonts w:ascii="Arial" w:hAnsi="Arial" w:cs="Arial"/>
          <w:lang w:val="es-US" w:eastAsia="en-US"/>
        </w:rPr>
      </w:pPr>
    </w:p>
    <w:p w:rsidR="005D0776" w:rsidRDefault="00F20DA7" w:rsidP="007D0A25">
      <w:pPr>
        <w:rPr>
          <w:b/>
        </w:rPr>
      </w:pPr>
      <w:r>
        <w:rPr>
          <w:b/>
        </w:rPr>
        <w:t>DERECHOS Y DEBERES DE LOS SELECCIONADOS</w:t>
      </w:r>
    </w:p>
    <w:p w:rsidR="005D0776" w:rsidRDefault="00F20DA7">
      <w:pPr>
        <w:jc w:val="both"/>
      </w:pPr>
      <w:r>
        <w:t>Los participantes que a juicio del Jurado de Evaluación y C</w:t>
      </w:r>
      <w:r w:rsidR="007D0A25">
        <w:t xml:space="preserve">alificación resulten ganadores </w:t>
      </w:r>
      <w:r>
        <w:t>de la presente convocatoria, quedar</w:t>
      </w:r>
      <w:r>
        <w:t xml:space="preserve">án sujetos al marco general de derechos y deberes que se precisan a continuación: </w:t>
      </w:r>
    </w:p>
    <w:p w:rsidR="00D26D09" w:rsidRDefault="00D26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Certificado de premiación y/o participación. </w:t>
      </w:r>
    </w:p>
    <w:p w:rsidR="005D0776" w:rsidRDefault="00F20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Ser los titulares de los derechos intelectuales y patrimoniales de sus obras. Se entiende que los seleccionados ceden</w:t>
      </w:r>
      <w:r>
        <w:rPr>
          <w:color w:val="000000"/>
        </w:rPr>
        <w:t xml:space="preserve"> los derechos de </w:t>
      </w:r>
      <w:r>
        <w:t>divulgación</w:t>
      </w:r>
      <w:r>
        <w:rPr>
          <w:color w:val="000000"/>
        </w:rPr>
        <w:t xml:space="preserve"> y uso de las obras entregadas con fines académicos. </w:t>
      </w:r>
    </w:p>
    <w:p w:rsidR="005D0776" w:rsidRDefault="005D07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7D0A25" w:rsidRPr="007D0A25" w:rsidRDefault="00D26D09" w:rsidP="007D0A25">
      <w:pPr>
        <w:rPr>
          <w:b/>
        </w:rPr>
      </w:pPr>
      <w:r>
        <w:rPr>
          <w:b/>
        </w:rPr>
        <w:t>DERECHOS DE AUTOR OBRAS PRESENTADAS</w:t>
      </w:r>
    </w:p>
    <w:p w:rsidR="005D0776" w:rsidRPr="007D0A25" w:rsidRDefault="007D0A25" w:rsidP="007D0A25">
      <w:r w:rsidRPr="007D0A25">
        <w:t xml:space="preserve">Los participantes, con su inscripción aceptan y autorizan al Centro de Arte y Cultura de la Universidad Jorge Tadeo Lozano, para realizar </w:t>
      </w:r>
      <w:r w:rsidR="00D26D09">
        <w:t xml:space="preserve">la debida publicación de las obras participantes </w:t>
      </w:r>
      <w:r w:rsidRPr="007D0A25">
        <w:t>con fines de promover sus propuestas artísticas y difundirlos en los medios de</w:t>
      </w:r>
      <w:r w:rsidR="00D26D09">
        <w:t xml:space="preserve"> comunicación de la Universidad sin ánimo de lucro,</w:t>
      </w:r>
      <w:r w:rsidRPr="007D0A25">
        <w:t xml:space="preserve"> al igual que para ser incluidos en los informes de gestión (De conformidad con lo establecido </w:t>
      </w:r>
      <w:r w:rsidR="00D26D09">
        <w:t xml:space="preserve">en </w:t>
      </w:r>
      <w:r w:rsidRPr="007D0A25">
        <w:t>la Ley 23 de 1982 y Ley 44 de 1993</w:t>
      </w:r>
      <w:r w:rsidR="00D26D09">
        <w:t xml:space="preserve"> de la Constitución Política de Colombia</w:t>
      </w:r>
      <w:r w:rsidRPr="007D0A25">
        <w:t>).</w:t>
      </w:r>
    </w:p>
    <w:p w:rsidR="005D0776" w:rsidRDefault="005D0776">
      <w:pPr>
        <w:rPr>
          <w:b/>
        </w:rPr>
      </w:pPr>
    </w:p>
    <w:p w:rsidR="005D0776" w:rsidRDefault="005D0776">
      <w:pPr>
        <w:rPr>
          <w:b/>
        </w:rPr>
      </w:pPr>
    </w:p>
    <w:p w:rsidR="005D0776" w:rsidRDefault="005D0776">
      <w:pPr>
        <w:jc w:val="both"/>
      </w:pPr>
    </w:p>
    <w:sectPr w:rsidR="005D077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D1"/>
    <w:multiLevelType w:val="hybridMultilevel"/>
    <w:tmpl w:val="A9F46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595"/>
    <w:multiLevelType w:val="multilevel"/>
    <w:tmpl w:val="3580C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B978A5"/>
    <w:multiLevelType w:val="hybridMultilevel"/>
    <w:tmpl w:val="D2E4F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49C9"/>
    <w:multiLevelType w:val="multilevel"/>
    <w:tmpl w:val="C39A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70"/>
    <w:multiLevelType w:val="multilevel"/>
    <w:tmpl w:val="4B44D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F86129"/>
    <w:multiLevelType w:val="multilevel"/>
    <w:tmpl w:val="5582E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E3746E"/>
    <w:multiLevelType w:val="multilevel"/>
    <w:tmpl w:val="F6A60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E9564A"/>
    <w:multiLevelType w:val="multilevel"/>
    <w:tmpl w:val="59D6C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6"/>
    <w:rsid w:val="00182F50"/>
    <w:rsid w:val="00194A56"/>
    <w:rsid w:val="002E6D52"/>
    <w:rsid w:val="00353C29"/>
    <w:rsid w:val="00462B29"/>
    <w:rsid w:val="00517642"/>
    <w:rsid w:val="00532892"/>
    <w:rsid w:val="005D0776"/>
    <w:rsid w:val="0067180D"/>
    <w:rsid w:val="006C5933"/>
    <w:rsid w:val="007D0A25"/>
    <w:rsid w:val="009D187E"/>
    <w:rsid w:val="00BD1C9B"/>
    <w:rsid w:val="00C72D27"/>
    <w:rsid w:val="00D26D09"/>
    <w:rsid w:val="00D87F1C"/>
    <w:rsid w:val="00DA6BD7"/>
    <w:rsid w:val="00E51F2A"/>
    <w:rsid w:val="00EE6005"/>
    <w:rsid w:val="00F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DC43CD-357D-48A5-B806-BDDCE0E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1C9B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D1C9B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6BD7"/>
    <w:pPr>
      <w:spacing w:after="0" w:line="240" w:lineRule="auto"/>
    </w:pPr>
    <w:rPr>
      <w:rFonts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B5kAqqYeuYh1KH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Alvarez</cp:lastModifiedBy>
  <cp:revision>12</cp:revision>
  <dcterms:created xsi:type="dcterms:W3CDTF">2021-02-15T20:56:00Z</dcterms:created>
  <dcterms:modified xsi:type="dcterms:W3CDTF">2021-02-16T02:44:00Z</dcterms:modified>
</cp:coreProperties>
</file>